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Аналитическая справка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о результатах пробного экзамена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по математике в форме ЕГЭ (базовый уровень)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обучающихся 11-х классов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города Кимры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b/>
          <w:sz w:val="28"/>
          <w:szCs w:val="24"/>
        </w:rPr>
        <w:t>2022-2023 учебного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подготовки к государственной итоговой аттестации по образовательным программам среднего общего образования (далее – ГИА), </w:t>
      </w:r>
      <w:r>
        <w:rPr>
          <w:rFonts w:cs="Times New Roman" w:ascii="Times New Roman" w:hAnsi="Times New Roman"/>
          <w:sz w:val="28"/>
          <w:szCs w:val="24"/>
        </w:rPr>
        <w:t>18.01.2023 г. в 11 классе был проведен городской пробный экзамен по математике в форме ЕГЭ (базовый уровень).</w:t>
      </w:r>
    </w:p>
    <w:p>
      <w:pPr>
        <w:pStyle w:val="Normal"/>
        <w:spacing w:lineRule="auto" w:line="240" w:before="0" w:after="12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По итогам проведенного </w:t>
      </w:r>
      <w:bookmarkStart w:id="0" w:name="_Hlk98841336"/>
      <w:r>
        <w:rPr>
          <w:rFonts w:cs="Times New Roman" w:ascii="Times New Roman" w:hAnsi="Times New Roman"/>
          <w:bCs/>
          <w:sz w:val="28"/>
          <w:szCs w:val="24"/>
        </w:rPr>
        <w:t>пробного экзамена по математике в форме ЕГЭ (базовый уровень)</w:t>
      </w:r>
      <w:bookmarkEnd w:id="0"/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4"/>
        </w:rPr>
        <w:t xml:space="preserve">в 11 классе были получены следующие результаты. </w:t>
      </w:r>
    </w:p>
    <w:p>
      <w:pPr>
        <w:pStyle w:val="Normal"/>
        <w:spacing w:lineRule="auto" w:line="240" w:before="0" w:after="120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Всего в выполнении </w:t>
      </w:r>
      <w:r>
        <w:rPr>
          <w:rFonts w:cs="Times New Roman" w:ascii="Times New Roman" w:hAnsi="Times New Roman"/>
          <w:bCs/>
          <w:sz w:val="28"/>
          <w:szCs w:val="24"/>
        </w:rPr>
        <w:t xml:space="preserve">пробного экзамена по математике в форме ЕГЭ (базовый уровень) </w:t>
      </w:r>
      <w:r>
        <w:rPr>
          <w:rFonts w:cs="Times New Roman" w:ascii="Times New Roman" w:hAnsi="Times New Roman"/>
          <w:sz w:val="28"/>
          <w:szCs w:val="24"/>
        </w:rPr>
        <w:t>приняло участие 109 обучающихся 11 - х класса из 9 школ города, что составляет 59 % от общего количество выпускников 11 класса.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Процент успеваемости составил – 88 %, качество – 51 %.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Лучшие результаты показали обучающиеся школ №11, №13, №14, Гимназии «Логос» (Средний оценочный балл выше среднего показателя по городу)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Style w:val="1"/>
        <w:tblW w:w="1034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6"/>
        <w:gridCol w:w="1576"/>
        <w:gridCol w:w="1378"/>
        <w:gridCol w:w="1377"/>
        <w:gridCol w:w="1378"/>
        <w:gridCol w:w="1378"/>
        <w:gridCol w:w="1559"/>
      </w:tblGrid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Школа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Всего участников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Средний оценочный балл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(27,8%)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(11,1%)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7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(38,9%)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(22,2%)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3,44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Гимназия №2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5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(22,7%)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4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(18,2%)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9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(40,9%)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 xml:space="preserve">4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(18,2%)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3,45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4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(70%)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(30%)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3,7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5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(25%)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(62,5%)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(12,5%)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3,13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11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(9,1%)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(63,6%)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(27,2%)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B05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B050"/>
                <w:sz w:val="28"/>
                <w:szCs w:val="28"/>
                <w:lang w:eastAsia="en-US"/>
              </w:rPr>
              <w:t>3,81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13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(6,25%)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(56,25%)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(31,25%)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(6,25%)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B05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B050"/>
                <w:sz w:val="28"/>
                <w:szCs w:val="28"/>
                <w:lang w:eastAsia="en-US"/>
              </w:rPr>
              <w:t>3,63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14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(8,3%)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(58,3%)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(16,7%)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(16,7%)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B05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B050"/>
                <w:sz w:val="28"/>
                <w:szCs w:val="28"/>
                <w:lang w:eastAsia="en-US"/>
              </w:rPr>
              <w:t>3,58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16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(11,1%)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(11,1%)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(66,6%)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FF0000"/>
                <w:sz w:val="28"/>
                <w:szCs w:val="28"/>
                <w:lang w:eastAsia="en-US"/>
              </w:rPr>
              <w:t>(11,1%)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3,22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Гимназия «Логос»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(33,3%)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(66,6%)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B050"/>
                <w:sz w:val="28"/>
                <w:szCs w:val="28"/>
                <w:lang w:eastAsia="en-US"/>
              </w:rPr>
              <w:t>4,33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Всего по городу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(13,8%)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41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(37,6%)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40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(36,7%)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13 (11,9%)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3,53</w:t>
            </w:r>
          </w:p>
        </w:tc>
      </w:tr>
    </w:tbl>
    <w:p>
      <w:pPr>
        <w:pStyle w:val="Normal"/>
        <w:spacing w:lineRule="auto" w:line="240" w:before="0" w:afterAutospacing="1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Результаты </w:t>
      </w:r>
      <w:r>
        <w:rPr>
          <w:rFonts w:cs="Times New Roman" w:ascii="Times New Roman" w:hAnsi="Times New Roman"/>
          <w:bCs/>
          <w:sz w:val="28"/>
          <w:szCs w:val="24"/>
        </w:rPr>
        <w:t>пробного экзамена по математике в форме ЕГЭ (базовый уровень)</w:t>
      </w:r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4"/>
        </w:rPr>
        <w:t>в 11 классе</w:t>
      </w:r>
      <w:r>
        <w:rPr>
          <w:rFonts w:cs="Times New Roman" w:ascii="Times New Roman" w:hAnsi="Times New Roman"/>
          <w:sz w:val="28"/>
          <w:szCs w:val="28"/>
        </w:rPr>
        <w:t xml:space="preserve"> свидетельствуют о том, что не все обучающиеся, заявленные для сдачи ЕГЭ по математике базового уровня смогли преодолеть минимальный порог и набрать необходимое количество баллов.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8"/>
          <w:szCs w:val="24"/>
        </w:rPr>
        <w:t xml:space="preserve">При выполнении обучающимися 11-го класса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4"/>
        </w:rPr>
        <w:t xml:space="preserve">пробного экзамена по математике в форме ЕГЭ (базовый уровень) </w:t>
      </w:r>
      <w:r>
        <w:rPr>
          <w:rFonts w:cs="Times New Roman" w:ascii="Times New Roman" w:hAnsi="Times New Roman"/>
          <w:b/>
          <w:sz w:val="28"/>
          <w:szCs w:val="24"/>
        </w:rPr>
        <w:t>были допущены следующие типичные ошибки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  <w:u w:val="single"/>
        </w:rPr>
      </w:r>
    </w:p>
    <w:tbl>
      <w:tblPr>
        <w:tblStyle w:val="a3"/>
        <w:tblW w:w="1023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62"/>
        <w:gridCol w:w="4239"/>
        <w:gridCol w:w="4834"/>
      </w:tblGrid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" w:cs="Times New Roman" w:eastAsiaTheme="minorEastAsia" w:ascii="Times New Roman" w:hAnsi="Times New Roman"/>
                <w:b/>
                <w:lang w:eastAsia="ru-RU"/>
              </w:rPr>
              <w:t>Задания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" w:cs="Times New Roman" w:eastAsiaTheme="minorEastAsia" w:ascii="Times New Roman" w:hAnsi="Times New Roman"/>
                <w:b/>
                <w:lang w:eastAsia="ru-RU"/>
              </w:rPr>
              <w:t>Типичные ошибки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Причина появления ошибок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простейшей текстовой задачи (округление).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Невнимательность в вычислениях, преобразованиях.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Установление соответствий величин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8704344"/>
            <w:bookmarkEnd w:id="1"/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Незнание величин  и их значений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Чтение таблиц, диаграмм и графиков.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Невнимательность при прочтении условия задачи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Вычисление значения неизвестного по формуле.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Невнимательность  в вычислениях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задачи на нахождение вероятности случайного события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Выбор оптимального варианта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Невнимательность в вычислениях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Анализ графиков и диаграмм, скорость изменения величин, производная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теорией, невнимательность, затруднении в чтении графиков, диаграмм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Выбор верного утверждения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Неумение делать вывод и обобщать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9.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Решение планиметрической задачи на нахождение площади фигур 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</w:t>
            </w:r>
          </w:p>
        </w:tc>
      </w:tr>
      <w:tr>
        <w:trPr>
          <w:trHeight w:val="70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геометрической задачи практического содержания.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Невнимательность в вычислениях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39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стереометрической задачи на нахождение объема  многогранника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</w:t>
            </w:r>
          </w:p>
        </w:tc>
      </w:tr>
      <w:tr>
        <w:trPr>
          <w:trHeight w:val="281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Планиметрическая задача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теорией, незнание формул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стереометрической задачи на нахождение объема.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Действия с обыкновенными и десятичными дробями.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Невнимательность в вычислениях.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текстовой задачи на проценты.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Невнимательность при прочтении условия задачи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487857"/>
            <w:bookmarkEnd w:id="2"/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Нахождение значений  выражений.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Невнимательность вычислений. Незнание свойств</w:t>
            </w:r>
          </w:p>
        </w:tc>
      </w:tr>
      <w:tr>
        <w:trPr>
          <w:trHeight w:val="58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показательного уравнения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Затруднения в применении методов решения показательных уравнений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Установление соответствий между неравенством и решением, чтение числовых промежутков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Незнание метода интервалов для решения неравенства, не сформирован навык нахождения рационального и иррационального числа на числовом промежутке</w:t>
            </w:r>
          </w:p>
        </w:tc>
      </w:tr>
      <w:tr>
        <w:trPr>
          <w:trHeight w:val="329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задачи на теорию чисел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текстовой задачи на сплавы.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Неумение составлять математическую модель данной жизненной ситуации</w:t>
            </w:r>
          </w:p>
        </w:tc>
      </w:tr>
      <w:tr>
        <w:trPr>
          <w:trHeight w:val="183" w:hRule="atLeast"/>
        </w:trPr>
        <w:tc>
          <w:tcPr>
            <w:tcW w:w="11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2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Решение логической задачи.</w:t>
            </w:r>
          </w:p>
        </w:tc>
        <w:tc>
          <w:tcPr>
            <w:tcW w:w="4834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4"/>
        </w:rPr>
        <w:t>Задания, вызвавшие наибольшее затруднения</w:t>
      </w: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 выполнении работы: №6,11, 12, 20, 21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  <w:u w:val="single"/>
        </w:rPr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Рекомендации:</w:t>
      </w:r>
    </w:p>
    <w:p>
      <w:pPr>
        <w:pStyle w:val="ListParagraph"/>
        <w:numPr>
          <w:ilvl w:val="0"/>
          <w:numId w:val="1"/>
        </w:numPr>
        <w:tabs>
          <w:tab w:val="left" w:pos="1134" w:leader="none"/>
        </w:tabs>
        <w:spacing w:lineRule="auto" w:line="240"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Проанализировать полученные результаты.</w:t>
      </w:r>
    </w:p>
    <w:p>
      <w:pPr>
        <w:pStyle w:val="ListParagraph"/>
        <w:numPr>
          <w:ilvl w:val="0"/>
          <w:numId w:val="1"/>
        </w:numPr>
        <w:tabs>
          <w:tab w:val="left" w:pos="1134" w:leader="none"/>
        </w:tabs>
        <w:spacing w:lineRule="auto" w:line="240" w:before="0"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Провести коррекционную работу по устранению пробелов в знаниях учащихся по темам, в которых были допущены ошибки в течение 3, 4 четверти 2022-2023 учебного года. </w:t>
      </w:r>
    </w:p>
    <w:p>
      <w:pPr>
        <w:pStyle w:val="ListParagraph"/>
        <w:shd w:val="clear" w:color="auto" w:fill="FFFFFF"/>
        <w:spacing w:lineRule="atLeast" w:line="225" w:before="0" w:after="12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</w:rPr>
        <w:t xml:space="preserve">3. С учетом результатов данной работы скорректировать группу «Риск»,  разработать для нее  индивидуальные маршрутные  листы  для     ликвидации  пробелов ЗУН учащихся. </w:t>
      </w:r>
    </w:p>
    <w:p>
      <w:pPr>
        <w:pStyle w:val="Normal"/>
        <w:tabs>
          <w:tab w:val="left" w:pos="993" w:leader="none"/>
        </w:tabs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Провести корректировку индивидуальных образовательных маршрутов с учетом выявленных дефицитов.</w:t>
      </w:r>
    </w:p>
    <w:p>
      <w:pPr>
        <w:pStyle w:val="Normal"/>
        <w:tabs>
          <w:tab w:val="left" w:pos="1134" w:leader="none"/>
        </w:tabs>
        <w:spacing w:lineRule="auto" w:line="240" w:before="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5.  Разнообразить формы работы с обучающимися с целью активизации их деятельности и повышения качества знаний.</w:t>
      </w:r>
    </w:p>
    <w:p>
      <w:pPr>
        <w:pStyle w:val="Normal"/>
        <w:tabs>
          <w:tab w:val="left" w:pos="1134" w:leader="none"/>
        </w:tabs>
        <w:spacing w:lineRule="auto" w:line="240" w:before="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1134" w:leader="none"/>
        </w:tabs>
        <w:spacing w:lineRule="auto" w:line="240" w:before="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Аналитическая справка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о результатах пробного экзамена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по математике в форме ЕГЭ (профильный уровень)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обучающихся 11-х классов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города Кимры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b/>
          <w:sz w:val="28"/>
          <w:szCs w:val="24"/>
        </w:rPr>
        <w:t>2022-2023 учебного года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подготовки к государственной итоговой аттестации по образовательным программам среднего общего образования (далее – ГИА), </w:t>
      </w:r>
      <w:r>
        <w:rPr>
          <w:rFonts w:cs="Times New Roman" w:ascii="Times New Roman" w:hAnsi="Times New Roman"/>
          <w:sz w:val="28"/>
          <w:szCs w:val="24"/>
        </w:rPr>
        <w:t>18.01.2023 г. в 11 классе был проведен городской пробный экзамен по математике в форме ЕГЭ (профильный уровень).</w:t>
      </w:r>
    </w:p>
    <w:p>
      <w:pPr>
        <w:pStyle w:val="Normal"/>
        <w:spacing w:lineRule="auto" w:line="240" w:before="0" w:after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По итогам проведенного </w:t>
      </w:r>
      <w:r>
        <w:rPr>
          <w:rFonts w:cs="Times New Roman" w:ascii="Times New Roman" w:hAnsi="Times New Roman"/>
          <w:bCs/>
          <w:sz w:val="28"/>
          <w:szCs w:val="24"/>
        </w:rPr>
        <w:t>пробного экзамена по математике в форме ЕГЭ (базовый уровень)</w:t>
      </w:r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4"/>
        </w:rPr>
        <w:t xml:space="preserve">в 11 классе были получены следующие результаты. </w:t>
      </w:r>
    </w:p>
    <w:p>
      <w:pPr>
        <w:pStyle w:val="Normal"/>
        <w:spacing w:lineRule="auto" w:line="240" w:before="0" w:after="120"/>
        <w:ind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Всего в выполнении </w:t>
      </w:r>
      <w:r>
        <w:rPr>
          <w:rFonts w:cs="Times New Roman" w:ascii="Times New Roman" w:hAnsi="Times New Roman"/>
          <w:bCs/>
          <w:sz w:val="28"/>
          <w:szCs w:val="24"/>
        </w:rPr>
        <w:t xml:space="preserve">пробного экзамена по математике в форме ЕГЭ (базовый уровень) </w:t>
      </w:r>
      <w:r>
        <w:rPr>
          <w:rFonts w:cs="Times New Roman" w:ascii="Times New Roman" w:hAnsi="Times New Roman"/>
          <w:sz w:val="28"/>
          <w:szCs w:val="24"/>
        </w:rPr>
        <w:t>приняло участие 76 обучающихся 11 - х класса из 8 школ города, что составляет 41 % от общего количество выпускников 11 класса.</w:t>
      </w:r>
    </w:p>
    <w:p>
      <w:pPr>
        <w:pStyle w:val="Normal"/>
        <w:spacing w:lineRule="auto" w:line="240" w:before="0" w:after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Процент успеваемости составил – 65 %, качество – 31,5 %. </w:t>
      </w:r>
    </w:p>
    <w:p>
      <w:pPr>
        <w:pStyle w:val="Normal"/>
        <w:spacing w:lineRule="auto" w:line="240" w:before="0" w:after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Максимальный балл, полученный при выполнении работы – 88 баллов (школа № 13), 82 балла (школа № 4), 80 баллов (гимназия «Логос»)</w:t>
      </w:r>
    </w:p>
    <w:p>
      <w:pPr>
        <w:pStyle w:val="Normal"/>
        <w:spacing w:lineRule="auto" w:line="240" w:before="0" w:after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Лучшие результаты показали обучающиеся школ № 4, № 13, № 14, Гимназии «Логос» (Средний оценочный балл выше среднего показателя по городу).</w:t>
      </w:r>
    </w:p>
    <w:p>
      <w:pPr>
        <w:pStyle w:val="Normal"/>
        <w:spacing w:lineRule="auto" w:line="240" w:before="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Результаты </w:t>
      </w:r>
      <w:r>
        <w:rPr>
          <w:rFonts w:cs="Times New Roman" w:ascii="Times New Roman" w:hAnsi="Times New Roman"/>
          <w:bCs/>
          <w:sz w:val="28"/>
          <w:szCs w:val="24"/>
        </w:rPr>
        <w:t>пробного экзамена по математике в форме ЕГЭ (профильный уровень)</w:t>
      </w:r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4"/>
        </w:rPr>
        <w:t>в 11 классе</w:t>
      </w:r>
      <w:r>
        <w:rPr>
          <w:rFonts w:cs="Times New Roman" w:ascii="Times New Roman" w:hAnsi="Times New Roman"/>
          <w:sz w:val="28"/>
          <w:szCs w:val="28"/>
        </w:rPr>
        <w:t xml:space="preserve"> свидетельствуют о том, что 27 (35%) обучающиеся, заявленные для сдачи ЕГЭ по математике профильного уровня смогли преодолеть минимальный порог в 6 баллов и набрать необходимое количество баллов (обучающиеся школы № 1, гимназии 2, школы №5, школы №11).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этом следует отметить, что только 24 (31,5%) обучающихся, заявленных для сдачи ЕГЭ по математике в (профильном уровне) смогли набрать количество баллов, соответствующее оценке «4 и 5».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Контрольно-измерительные материалы согласно демоверсии 2023 года состояли из двух частей, которые различаются по содержанию, сложности и количеству заданий: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 xml:space="preserve">часть 1 содержит 11 заданий (задания 1–11) с кратким ответом в виде целого числа или конечной десятичной дроби;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 xml:space="preserve">часть 2 содержит 7 заданий (задания 12–18) с развёрнутым ответом (полная запись решения с обоснованием выполненных действий).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Задания части 1 направлены на проверку освоения базовых умений и практических навыков применения математических знаний в повседневных ситуациях. Посредством заданий части 2 осуществляется проверка освоения математики на профильном уровне, необходимом для применения математики в профессиональной деятельности и на творческом уровне. Задания части 1 предназначены для определения математических компетентностей выпускников образовательных организаций, реализующих программы среднего общего образования на базовом уровне.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Пробный ЕГЭ на профильном уровне позволяет проверить усвоение учащимися следующего учебного материала: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Задания части 1 проверяют следующий учебный материал.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Математика, 5–6 классы;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Алгебра, 7–9 классы;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Алгебра и начала анализа, 10–11 классы;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Теория вероятностей и статистика, 7–9 классы;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Геометрия, 7–11 классы.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Задания части 2 проверяют следующий учебный материал.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Алгебра, 7–9 классы.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Алгебра и начала анализа, 10–11 классы.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Геометрия, 7–11 классы.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Содержание экзаменационной работы даёт возможность проверить комплекс умений по предмету: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уметь использовать приобретённые знания и умения в практической деятельности и повседневной жизни;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уметь выполнять вычисления и преобразования;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уметь решать уравнения и неравенства;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уметь выполнять действия с функциями;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уметь выполнять действия с геометрическими фигурами, координатами и векторами;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>уметь строить и исследовать математические модели.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       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b/>
          <w:sz w:val="28"/>
          <w:szCs w:val="24"/>
        </w:rPr>
        <w:t>При выполнении обучающимися 11-го класса пробного экзамена в форме ЕГЭ по математике (профильный уровень) были допущены следующие типичные ошибки</w:t>
      </w:r>
    </w:p>
    <w:tbl>
      <w:tblPr>
        <w:tblStyle w:val="a3"/>
        <w:tblW w:w="1020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59"/>
        <w:gridCol w:w="4473"/>
        <w:gridCol w:w="4469"/>
      </w:tblGrid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8"/>
                <w:szCs w:val="28"/>
                <w:lang w:eastAsia="ru-RU"/>
              </w:rPr>
              <w:t>Типичные ошибки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8"/>
                <w:szCs w:val="28"/>
                <w:lang w:eastAsia="ru-RU"/>
              </w:rPr>
              <w:t>Причины появления ошибок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планиметрической задачи на применение свойств вписанной окружности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 xml:space="preserve">Незнание свойств 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задачи на нахождение объема треугольной призмы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Слабое владение теорией, необходимой при решении данных задач.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задачи на нахождение вероятности случайного события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Не сформирован навык решения простых задач на вероятность</w:t>
            </w:r>
          </w:p>
        </w:tc>
      </w:tr>
      <w:tr>
        <w:trPr>
          <w:trHeight w:val="202" w:hRule="atLeast"/>
        </w:trPr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задачи на нахождение вероятности сложных событий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Не сформирован навык решения сложных задач на вероятность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иррационального уравнений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Вычислительные ошибки. Не сформирован навык преобразования иррациональных выражений.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Нахождение значения тригонометрического выражений.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Вычислительные ошибки. Незнание значений тригонометрических функций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задачи на использование геометрического смысла производной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Слабое владение теорией, необходимой при решении данных задач.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98795512"/>
            <w:bookmarkEnd w:id="3"/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 с прикладным содержанием, из различных областей наук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Невнимательность в вычислениях, преобразованиях.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задачи на совместную работу.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Неумение составлять математическую модель данной жизненной ситуации.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 на использование свойств графиков функции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97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Не сформирован навык чтения графиков, составления функции по графику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задачи на нахождение наибольшего, наименьшего значения алгебраических функций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Вычислительные ошибки. Слабое владение теорией, необходимой при решении данных задач.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85488270"/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тригонометрического уравнени</w:t>
            </w:r>
            <w:bookmarkEnd w:id="4"/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 xml:space="preserve">я: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а) их решение,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б) отбор корней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Вычислительные ошибки и недостаточные знания  формул для решения тригонометрических уравнений..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стереометрической задачи на определение расстояния между прямыми; нахождение площади сечения.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Слабое владение теорией, недостаточно развито пространственное видение.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85488324"/>
            <w:bookmarkEnd w:id="5"/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неравенства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Недостаточно отработано умение решать неравенства.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задачи экономического содержания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Плохое владение теоретическими знаниями.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планиметрической задачи повышенного уровня сложности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Неуверенность учащихся в знаниях по планиметрии.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уравнения с параметром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Плохое владение теоретическими знаниями.</w:t>
            </w:r>
          </w:p>
        </w:tc>
      </w:tr>
      <w:tr>
        <w:trPr/>
        <w:tc>
          <w:tcPr>
            <w:tcW w:w="12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7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Решение задачи на свойства чисел, числовые наборы, последовательности чисел</w:t>
            </w:r>
          </w:p>
        </w:tc>
        <w:tc>
          <w:tcPr>
            <w:tcW w:w="4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lang w:eastAsia="ru-RU"/>
              </w:rPr>
              <w:t>Плохое владение теоретическими знаниями.</w:t>
            </w:r>
          </w:p>
        </w:tc>
      </w:tr>
    </w:tbl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4"/>
        </w:rPr>
        <w:t>Задания, вызвавшие наибольшее затруднения</w:t>
      </w: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 выполнении работы: № 5, 7, 11, 15 – 18</w:t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1134" w:leader="none"/>
        </w:tabs>
        <w:spacing w:lineRule="auto" w:line="240" w:before="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Рекомендации</w:t>
      </w:r>
      <w:r>
        <w:rPr>
          <w:rFonts w:cs="Times New Roman" w:ascii="Times New Roman" w:hAnsi="Times New Roman"/>
          <w:sz w:val="28"/>
          <w:szCs w:val="28"/>
        </w:rPr>
        <w:t xml:space="preserve"> учителям математики</w:t>
      </w:r>
      <w:r>
        <w:rPr>
          <w:rFonts w:cs="Times New Roman" w:ascii="Times New Roman" w:hAnsi="Times New Roman"/>
          <w:b/>
          <w:sz w:val="28"/>
          <w:szCs w:val="28"/>
        </w:rPr>
        <w:t>: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выявление проблемных зон для групп учащихся с разным уровнем подготовки, а также планирование и проведение мероприятий по устранению проблемных зон (отработка типовых ошибок, повторение материала, корректировка методики); провести мероприятия, направленные на улучшение качества знаний и обеспечивающие выполнение заданий базового уровня;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необходимо сосредоточить внимание обучающихся на обсуждении «подходов» к решению тех или иных задач, выбору способов их решения и сопоставлению этих способов, проверке полученных ответов на правдоподобие и т.п.;  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необходимо усилить работу по повышению уровня вычислительных навыков учащихся (например, с помощью устной работы на уроках: применение арифметических законов действий при работе с рациональными числами, свойства степеней, корней, математических диктантов и др.), что позволит им успешно выполнить задания, избежав досадных ошибок, применяя рациональные методы вычислений; 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необходим дифференцированный подход в работе с наиболее подготовленными выпускниками. Это относится и к работе на уроке, и к дифференциации домашних заданий и заданий, предлагающихся обучающимся на контрольных, проверочных, диагностических работах. 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>особое внимание необходимо обратить на решение тригонометрических уравнений повышенного уровня сложности. Требуется знание значений тригонометрических функций для углов 1 четверти; тригонометрических формул; умение работать с тригонометрическим кругом. Также необходимо подчеркнуть важность корректного отбора корней данного уравнения. Необходимо использовать различные способы отбора, а также графическую иллюстрацию отрезка, на котором необходимо отобрать корни;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необходимо более эффективно организовать работу по обучению решению экономических задач, а также рассмотрению различных их типов. Построить работу по устранению ошибок с учетом требований от выпускников: знания терминологии и понятий, связанных с экономической задачей; уверенного владения данными понятиями; умения решать задачи на проценты различных типов; внимательного прочтения условия задачи с учетом всех его особенностей; проверки полученного ответа на «здравый смысл». Педагогам следует отказаться от «натаскивания» на решение задач определенных типов, имеющихся в сборниках, по схемам и готовым формулам без понимания сути экономических задач и исключить зазубривания данных методов, так как условия задач постоянно меняются; 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необходимо обратить самое пристальное внимание на изучение геометрии – непосредственно с 7 класса, когда начинается систематическое изучение этого предмета. Подготовку выпускников к ЕГЭ следует начинать не с рассмотрения примеров решения геометрических задач № 14 и 16, а с изучения свойств геометрических фигур и их элементов. После изучения теории, обучающимся следует браться за самостоятельное решение задач. Лучше решать задачи блоками по фигурам, например, «Прямоугольный треугольник и его элементы», «Треугольник и его элементы» и т.д. 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− </w:t>
      </w:r>
      <w:r>
        <w:rPr>
          <w:rFonts w:cs="Times New Roman" w:ascii="Times New Roman" w:hAnsi="Times New Roman"/>
          <w:sz w:val="28"/>
          <w:szCs w:val="28"/>
        </w:rPr>
        <w:t xml:space="preserve">необходимо как можно раньше начинать работу с текстом на уроках математики, формировать умение его проанализировать и сделать из него выводы. Такая работа должна вестись с 5 по 11 класс – это поможет при решении задач № 17 и 19. 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необходимо постоянное поддержание интереса и мотивации; развитие мышления ученика, через решение задач нестандартных и повышенной сложности, головоломок, участие в олимпиадах; развитие логического мышления, умения доказывать и рассуждать, накопление различных способов и приемов, математического доказательства.</w:t>
      </w:r>
    </w:p>
    <w:p>
      <w:pPr>
        <w:pStyle w:val="Normal"/>
        <w:tabs>
          <w:tab w:val="left" w:pos="1134" w:leader="none"/>
        </w:tabs>
        <w:spacing w:lineRule="auto" w:line="240" w:before="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1134" w:leader="none"/>
        </w:tabs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Руководитель ГМО учителей математики Сутина Е. Н.</w:t>
      </w:r>
      <w:bookmarkStart w:id="6" w:name="_GoBack"/>
      <w:bookmarkEnd w:id="6"/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3c1f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42716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6a6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">
    <w:name w:val="Сетка таблицы1"/>
    <w:basedOn w:val="a1"/>
    <w:uiPriority w:val="39"/>
    <w:rsid w:val="007633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2B838-4C01-4AF2-BAD8-6D9E9A0F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Application>LibreOffice/5.4.1.2$Windows_X86_64 LibreOffice_project/ea7cb86e6eeb2bf3a5af73a8f7777ac570321527</Application>
  <Pages>7</Pages>
  <Words>1863</Words>
  <Characters>12163</Characters>
  <CharactersWithSpaces>13869</CharactersWithSpaces>
  <Paragraphs>306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2023-02-07T17:33:00Z</dcterms:created>
  <dc:creator>Сергей Белов</dc:creator>
  <dc:description/>
  <dc:language>ru-RU</dc:language>
  <cp:lastModifiedBy>Сергей Белов</cp:lastModifiedBy>
  <dcterms:modified xsi:type="dcterms:W3CDTF">2023-02-07T20:55:00Z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